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9C" w:rsidRPr="003B73EC" w:rsidRDefault="003B73EC" w:rsidP="003B73EC">
      <w:pPr>
        <w:jc w:val="center"/>
        <w:rPr>
          <w:b/>
          <w:bCs/>
          <w:sz w:val="40"/>
        </w:rPr>
      </w:pPr>
      <w:r w:rsidRPr="003B73EC">
        <w:rPr>
          <w:b/>
          <w:bCs/>
          <w:sz w:val="40"/>
        </w:rPr>
        <w:t>DOPALACZE</w:t>
      </w:r>
    </w:p>
    <w:p w:rsidR="003B73EC" w:rsidRDefault="003B73EC" w:rsidP="007A0215">
      <w:pPr>
        <w:jc w:val="center"/>
      </w:pPr>
      <w:bookmarkStart w:id="0" w:name="_GoBack"/>
      <w:r w:rsidRPr="003B73EC">
        <w:rPr>
          <w:noProof/>
          <w:lang w:eastAsia="pl-PL"/>
        </w:rPr>
        <w:drawing>
          <wp:inline distT="0" distB="0" distL="0" distR="0">
            <wp:extent cx="3382241" cy="2867891"/>
            <wp:effectExtent l="19050" t="0" r="8659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41" cy="2867891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3B73EC" w:rsidRDefault="003B73EC" w:rsidP="003B73EC">
      <w:pPr>
        <w:jc w:val="both"/>
      </w:pPr>
    </w:p>
    <w:p w:rsidR="003B73EC" w:rsidRDefault="003B73EC" w:rsidP="003B73EC">
      <w:pPr>
        <w:jc w:val="both"/>
        <w:rPr>
          <w:b/>
          <w:bCs/>
        </w:rPr>
      </w:pPr>
      <w:r>
        <w:rPr>
          <w:b/>
          <w:bCs/>
        </w:rPr>
        <w:t xml:space="preserve">Społeczeństwo </w:t>
      </w:r>
      <w:r w:rsidRPr="003B73EC">
        <w:rPr>
          <w:b/>
          <w:bCs/>
        </w:rPr>
        <w:t>zwróciło uw</w:t>
      </w:r>
      <w:r>
        <w:rPr>
          <w:b/>
          <w:bCs/>
        </w:rPr>
        <w:t xml:space="preserve">agę na problem dopalaczy już w </w:t>
      </w:r>
      <w:r w:rsidRPr="003B73EC">
        <w:rPr>
          <w:b/>
          <w:bCs/>
        </w:rPr>
        <w:t xml:space="preserve">sierpniu 2008 roku, kiedy w Łodzi rozpoczął legalną działalność </w:t>
      </w:r>
      <w:r>
        <w:rPr>
          <w:b/>
          <w:bCs/>
        </w:rPr>
        <w:t xml:space="preserve">pierwszy w Polsce sklep sprzedający nieznane dotąd </w:t>
      </w:r>
      <w:r w:rsidRPr="003B73EC">
        <w:rPr>
          <w:b/>
          <w:bCs/>
        </w:rPr>
        <w:t>szersze</w:t>
      </w:r>
      <w:r>
        <w:rPr>
          <w:b/>
          <w:bCs/>
        </w:rPr>
        <w:t xml:space="preserve">mu gronu substancje chemiczne, </w:t>
      </w:r>
      <w:r w:rsidRPr="003B73EC">
        <w:rPr>
          <w:b/>
          <w:bCs/>
        </w:rPr>
        <w:t>do tej pory do</w:t>
      </w:r>
      <w:r>
        <w:rPr>
          <w:b/>
          <w:bCs/>
        </w:rPr>
        <w:t xml:space="preserve">stępne wyłącznie </w:t>
      </w:r>
      <w:r w:rsidRPr="003B73EC">
        <w:rPr>
          <w:b/>
          <w:bCs/>
        </w:rPr>
        <w:t>za pośrednictwem Internetu. </w:t>
      </w:r>
    </w:p>
    <w:p w:rsid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>Kilka lat temu mianem dopalaczy</w:t>
      </w:r>
      <w:r>
        <w:rPr>
          <w:b/>
          <w:bCs/>
        </w:rPr>
        <w:t xml:space="preserve"> określano głównie  napoje energetyzujące typu </w:t>
      </w:r>
      <w:r w:rsidRPr="003B73EC">
        <w:rPr>
          <w:b/>
          <w:bCs/>
        </w:rPr>
        <w:t xml:space="preserve">Red Bull czy </w:t>
      </w:r>
      <w:proofErr w:type="spellStart"/>
      <w:r w:rsidRPr="003B73EC">
        <w:rPr>
          <w:b/>
          <w:bCs/>
        </w:rPr>
        <w:t>Tiger</w:t>
      </w:r>
      <w:proofErr w:type="spellEnd"/>
      <w:r>
        <w:rPr>
          <w:b/>
          <w:bCs/>
        </w:rPr>
        <w:t xml:space="preserve">. Dziś </w:t>
      </w:r>
      <w:r w:rsidRPr="003B73EC">
        <w:rPr>
          <w:b/>
          <w:bCs/>
        </w:rPr>
        <w:t>dopalacze to …potoczna nazwa różnego rodzaju</w:t>
      </w:r>
      <w:r>
        <w:rPr>
          <w:b/>
          <w:bCs/>
        </w:rPr>
        <w:t xml:space="preserve"> </w:t>
      </w:r>
      <w:r w:rsidRPr="003B73EC">
        <w:rPr>
          <w:b/>
          <w:bCs/>
        </w:rPr>
        <w:t>substancji psychoaktywnych, które nie znajdują się na liście środków kontrolowanych</w:t>
      </w:r>
      <w:r>
        <w:rPr>
          <w:b/>
          <w:bCs/>
        </w:rPr>
        <w:t xml:space="preserve"> </w:t>
      </w:r>
      <w:r w:rsidRPr="003B73EC">
        <w:rPr>
          <w:b/>
          <w:bCs/>
        </w:rPr>
        <w:t>przez ustawę o przeciwdziałaniu narkomanii. Spożycie ich ma na celu wywołanie w organizmie jak najwierniejszego efektu narkotycznego</w:t>
      </w:r>
      <w:r>
        <w:rPr>
          <w:b/>
          <w:bCs/>
        </w:rPr>
        <w:t>.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>Aktualna wiedza na temat ryzyka związanego z używaniem dopalaczy jest ograniczona, ale wiele wskazuje na to, że przyjmowanie tych substancji, wiąże się z ryzykiem zdrowotnym, w tym także z uzależnieniem.</w:t>
      </w:r>
      <w:r>
        <w:rPr>
          <w:b/>
          <w:bCs/>
        </w:rPr>
        <w:t xml:space="preserve"> </w:t>
      </w:r>
      <w:r w:rsidRPr="003B73EC">
        <w:rPr>
          <w:b/>
          <w:bCs/>
        </w:rPr>
        <w:t xml:space="preserve">Zagrożenie związane z używaniem substancji psychoaktywnych jest szczególnie wysokie w przypadku młodych osób, których organizmy są niezwykle podatne na wszelkie szkody zdrowotne. Dopalacze mogą być również substancjami wprowadzającymi w świat narkotyków. </w:t>
      </w:r>
    </w:p>
    <w:p w:rsid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>OBJAWY UŻYWANIA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>Podobnie jak w przypadku narkotyków objawy używania zależą od rodzaju substancji, przyjętej dawki, jak również od cech psychofizycznych danej osoby.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 xml:space="preserve"> </w:t>
      </w:r>
      <w:r w:rsidRPr="003B73EC">
        <w:rPr>
          <w:b/>
          <w:bCs/>
        </w:rPr>
        <w:tab/>
        <w:t xml:space="preserve">Jako ogólne objawy wymienia się: </w:t>
      </w:r>
    </w:p>
    <w:p w:rsidR="00DA7ED8" w:rsidRPr="003B73EC" w:rsidRDefault="003B73EC" w:rsidP="003B73EC">
      <w:pPr>
        <w:numPr>
          <w:ilvl w:val="1"/>
          <w:numId w:val="1"/>
        </w:numPr>
        <w:tabs>
          <w:tab w:val="clear" w:pos="1440"/>
        </w:tabs>
        <w:jc w:val="both"/>
        <w:rPr>
          <w:b/>
          <w:bCs/>
        </w:rPr>
      </w:pPr>
      <w:r w:rsidRPr="003B73EC">
        <w:rPr>
          <w:b/>
          <w:bCs/>
        </w:rPr>
        <w:t>przypływ energii</w:t>
      </w:r>
    </w:p>
    <w:p w:rsidR="00DA7ED8" w:rsidRPr="003B73EC" w:rsidRDefault="003B73EC" w:rsidP="003B73EC">
      <w:pPr>
        <w:numPr>
          <w:ilvl w:val="1"/>
          <w:numId w:val="1"/>
        </w:numPr>
        <w:tabs>
          <w:tab w:val="clear" w:pos="1440"/>
        </w:tabs>
        <w:jc w:val="both"/>
        <w:rPr>
          <w:b/>
          <w:bCs/>
        </w:rPr>
      </w:pPr>
      <w:r w:rsidRPr="003B73EC">
        <w:rPr>
          <w:b/>
          <w:bCs/>
        </w:rPr>
        <w:t>podwyższenie nastroju</w:t>
      </w:r>
    </w:p>
    <w:p w:rsidR="00DA7ED8" w:rsidRPr="003B73EC" w:rsidRDefault="003B73EC" w:rsidP="003B73EC">
      <w:pPr>
        <w:numPr>
          <w:ilvl w:val="1"/>
          <w:numId w:val="1"/>
        </w:numPr>
        <w:tabs>
          <w:tab w:val="clear" w:pos="1440"/>
        </w:tabs>
        <w:jc w:val="both"/>
        <w:rPr>
          <w:b/>
          <w:bCs/>
        </w:rPr>
      </w:pPr>
      <w:r w:rsidRPr="003B73EC">
        <w:rPr>
          <w:b/>
          <w:bCs/>
        </w:rPr>
        <w:t>rozdrażnienie</w:t>
      </w:r>
    </w:p>
    <w:p w:rsidR="00DA7ED8" w:rsidRPr="003B73EC" w:rsidRDefault="003B73EC" w:rsidP="003B73EC">
      <w:pPr>
        <w:numPr>
          <w:ilvl w:val="1"/>
          <w:numId w:val="1"/>
        </w:numPr>
        <w:tabs>
          <w:tab w:val="clear" w:pos="1440"/>
        </w:tabs>
        <w:jc w:val="both"/>
        <w:rPr>
          <w:b/>
          <w:bCs/>
        </w:rPr>
      </w:pPr>
      <w:r w:rsidRPr="003B73EC">
        <w:rPr>
          <w:b/>
          <w:bCs/>
        </w:rPr>
        <w:t>pobudzenie psychoruchowe</w:t>
      </w:r>
    </w:p>
    <w:p w:rsidR="00DA7ED8" w:rsidRPr="003B73EC" w:rsidRDefault="003B73EC" w:rsidP="003B73EC">
      <w:pPr>
        <w:numPr>
          <w:ilvl w:val="1"/>
          <w:numId w:val="1"/>
        </w:numPr>
        <w:tabs>
          <w:tab w:val="clear" w:pos="1440"/>
        </w:tabs>
        <w:jc w:val="both"/>
        <w:rPr>
          <w:b/>
          <w:bCs/>
        </w:rPr>
      </w:pPr>
      <w:r w:rsidRPr="003B73EC">
        <w:rPr>
          <w:b/>
          <w:bCs/>
        </w:rPr>
        <w:lastRenderedPageBreak/>
        <w:t>halucynacje wzrokowo- słuchowe</w:t>
      </w:r>
    </w:p>
    <w:p w:rsidR="00DA7ED8" w:rsidRPr="003B73EC" w:rsidRDefault="003B73EC" w:rsidP="003B73EC">
      <w:pPr>
        <w:numPr>
          <w:ilvl w:val="1"/>
          <w:numId w:val="1"/>
        </w:numPr>
        <w:tabs>
          <w:tab w:val="clear" w:pos="1440"/>
        </w:tabs>
        <w:jc w:val="both"/>
        <w:rPr>
          <w:b/>
          <w:bCs/>
        </w:rPr>
      </w:pPr>
      <w:r w:rsidRPr="003B73EC">
        <w:rPr>
          <w:b/>
          <w:bCs/>
        </w:rPr>
        <w:t xml:space="preserve">utrata apetytu </w:t>
      </w:r>
    </w:p>
    <w:p w:rsidR="00DA7ED8" w:rsidRPr="003B73EC" w:rsidRDefault="003B73EC" w:rsidP="003B73EC">
      <w:pPr>
        <w:numPr>
          <w:ilvl w:val="1"/>
          <w:numId w:val="1"/>
        </w:numPr>
        <w:tabs>
          <w:tab w:val="clear" w:pos="1440"/>
        </w:tabs>
        <w:jc w:val="both"/>
        <w:rPr>
          <w:b/>
          <w:bCs/>
        </w:rPr>
      </w:pPr>
      <w:r w:rsidRPr="003B73EC">
        <w:rPr>
          <w:b/>
          <w:bCs/>
        </w:rPr>
        <w:t>bezsenność</w:t>
      </w:r>
    </w:p>
    <w:p w:rsidR="00DA7ED8" w:rsidRPr="003B73EC" w:rsidRDefault="003B73EC" w:rsidP="003B73EC">
      <w:pPr>
        <w:numPr>
          <w:ilvl w:val="1"/>
          <w:numId w:val="1"/>
        </w:numPr>
        <w:tabs>
          <w:tab w:val="clear" w:pos="1440"/>
        </w:tabs>
        <w:jc w:val="both"/>
        <w:rPr>
          <w:b/>
          <w:bCs/>
        </w:rPr>
      </w:pPr>
      <w:r w:rsidRPr="003B73EC">
        <w:rPr>
          <w:b/>
          <w:bCs/>
        </w:rPr>
        <w:t xml:space="preserve">przekrwienie gałek ocznych </w:t>
      </w:r>
    </w:p>
    <w:p w:rsidR="00DA7ED8" w:rsidRPr="003B73EC" w:rsidRDefault="003B73EC" w:rsidP="003B73EC">
      <w:pPr>
        <w:numPr>
          <w:ilvl w:val="1"/>
          <w:numId w:val="1"/>
        </w:numPr>
        <w:tabs>
          <w:tab w:val="clear" w:pos="1440"/>
        </w:tabs>
        <w:jc w:val="both"/>
        <w:rPr>
          <w:b/>
          <w:bCs/>
        </w:rPr>
      </w:pPr>
      <w:r w:rsidRPr="003B73EC">
        <w:rPr>
          <w:b/>
          <w:bCs/>
        </w:rPr>
        <w:t>wymioty</w:t>
      </w:r>
    </w:p>
    <w:p w:rsidR="00DA7ED8" w:rsidRPr="003B73EC" w:rsidRDefault="003B73EC" w:rsidP="003B73EC">
      <w:pPr>
        <w:numPr>
          <w:ilvl w:val="1"/>
          <w:numId w:val="1"/>
        </w:numPr>
        <w:tabs>
          <w:tab w:val="clear" w:pos="1440"/>
        </w:tabs>
        <w:jc w:val="both"/>
        <w:rPr>
          <w:b/>
          <w:bCs/>
        </w:rPr>
      </w:pPr>
      <w:r w:rsidRPr="003B73EC">
        <w:rPr>
          <w:b/>
          <w:bCs/>
        </w:rPr>
        <w:t>biegunka …</w:t>
      </w:r>
    </w:p>
    <w:p w:rsidR="003B73EC" w:rsidRDefault="003B73EC" w:rsidP="003B73EC">
      <w:pPr>
        <w:jc w:val="both"/>
        <w:rPr>
          <w:b/>
          <w:bCs/>
        </w:rPr>
      </w:pPr>
      <w:r>
        <w:rPr>
          <w:b/>
          <w:bCs/>
        </w:rPr>
        <w:t>DOPALACZE nie są obojętne</w:t>
      </w:r>
      <w:r w:rsidRPr="003B73EC">
        <w:rPr>
          <w:b/>
          <w:bCs/>
        </w:rPr>
        <w:t xml:space="preserve"> dla ORGANIZMU</w:t>
      </w:r>
      <w:r>
        <w:rPr>
          <w:b/>
          <w:bCs/>
        </w:rPr>
        <w:t>!</w:t>
      </w:r>
    </w:p>
    <w:p w:rsidR="003B73EC" w:rsidRPr="003B73EC" w:rsidRDefault="003B73EC" w:rsidP="003B73EC">
      <w:pPr>
        <w:jc w:val="both"/>
        <w:rPr>
          <w:b/>
          <w:bCs/>
          <w:i/>
        </w:rPr>
      </w:pPr>
      <w:r w:rsidRPr="003B73EC">
        <w:rPr>
          <w:b/>
          <w:bCs/>
          <w:i/>
        </w:rPr>
        <w:t>„Najgorsze jest to, że skutki zatrucia dopalaczami są trudne do przewidzenia. Sądząc po rozległości objawów u dzieci, które do nas trafiają z powodu zatruć, substancje zawarte w dopalaczach mogą uszkadzać wątrobę, nerki, serce i wiele innych organów wewnętrznych.”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 xml:space="preserve">Włodzimierz Wielgus- 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 xml:space="preserve">dyrektor Wojewódzkiego Specjalistycznego 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>Szpitala Dziecięcego w Kielcach</w:t>
      </w:r>
    </w:p>
    <w:p w:rsidR="003B73EC" w:rsidRDefault="003B73EC" w:rsidP="003B73EC">
      <w:pPr>
        <w:jc w:val="both"/>
        <w:rPr>
          <w:b/>
          <w:bCs/>
        </w:rPr>
      </w:pPr>
    </w:p>
    <w:p w:rsid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>W SKŁAD dopalaczy wchodzą toksyczne substancje</w:t>
      </w:r>
      <w:r>
        <w:rPr>
          <w:b/>
          <w:bCs/>
        </w:rPr>
        <w:t>: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 xml:space="preserve">Przykładowo: </w:t>
      </w:r>
    </w:p>
    <w:p w:rsidR="00DA7ED8" w:rsidRPr="003B73EC" w:rsidRDefault="003B73EC" w:rsidP="003B73EC">
      <w:pPr>
        <w:numPr>
          <w:ilvl w:val="0"/>
          <w:numId w:val="2"/>
        </w:numPr>
        <w:jc w:val="both"/>
        <w:rPr>
          <w:b/>
          <w:bCs/>
        </w:rPr>
      </w:pPr>
      <w:r w:rsidRPr="003B73EC">
        <w:rPr>
          <w:b/>
          <w:bCs/>
        </w:rPr>
        <w:t>rtęć</w:t>
      </w:r>
    </w:p>
    <w:p w:rsidR="00DA7ED8" w:rsidRPr="003B73EC" w:rsidRDefault="003B73EC" w:rsidP="003B73EC">
      <w:pPr>
        <w:numPr>
          <w:ilvl w:val="0"/>
          <w:numId w:val="2"/>
        </w:numPr>
        <w:jc w:val="both"/>
        <w:rPr>
          <w:b/>
          <w:bCs/>
        </w:rPr>
      </w:pPr>
      <w:r w:rsidRPr="003B73EC">
        <w:rPr>
          <w:b/>
          <w:bCs/>
        </w:rPr>
        <w:t xml:space="preserve">aluminium </w:t>
      </w:r>
    </w:p>
    <w:p w:rsidR="00DA7ED8" w:rsidRPr="003B73EC" w:rsidRDefault="003B73EC" w:rsidP="003B73EC">
      <w:pPr>
        <w:numPr>
          <w:ilvl w:val="0"/>
          <w:numId w:val="2"/>
        </w:numPr>
        <w:jc w:val="both"/>
        <w:rPr>
          <w:b/>
          <w:bCs/>
        </w:rPr>
      </w:pPr>
      <w:r w:rsidRPr="003B73EC">
        <w:rPr>
          <w:b/>
          <w:bCs/>
        </w:rPr>
        <w:t xml:space="preserve">syntetyczne </w:t>
      </w:r>
      <w:proofErr w:type="spellStart"/>
      <w:r w:rsidRPr="003B73EC">
        <w:rPr>
          <w:b/>
          <w:bCs/>
        </w:rPr>
        <w:t>kannabinoidy</w:t>
      </w:r>
      <w:proofErr w:type="spellEnd"/>
      <w:r w:rsidRPr="003B73EC">
        <w:rPr>
          <w:b/>
          <w:bCs/>
        </w:rPr>
        <w:t>.</w:t>
      </w:r>
    </w:p>
    <w:p w:rsidR="003B73EC" w:rsidRDefault="003B73EC" w:rsidP="003B73EC">
      <w:pPr>
        <w:jc w:val="both"/>
        <w:rPr>
          <w:b/>
          <w:bCs/>
        </w:rPr>
      </w:pP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 xml:space="preserve">Szczególnie niebezpieczne jest łączenie różnych dopalaczy ze sobą oraz z alkoholem. Mogą wówczas spowodować porażenie ośrodka oddechowego i ośrodka krążenia, zaburzenia rytmu serca, nawet z zatrzymaniem jego akcji, a także gwałtowne skoki ciśnienia prowadzące do utraty przytomności, udaru mózgu czy zawału serca. W pewnych okolicznościach ich zażycie może więc okazać się śmiertelne. </w:t>
      </w:r>
    </w:p>
    <w:p w:rsidR="003B73EC" w:rsidRPr="003B73EC" w:rsidRDefault="003B73EC" w:rsidP="003B73EC">
      <w:pPr>
        <w:jc w:val="both"/>
        <w:rPr>
          <w:b/>
          <w:bCs/>
          <w:i/>
        </w:rPr>
      </w:pPr>
      <w:r w:rsidRPr="003B73EC">
        <w:rPr>
          <w:b/>
          <w:bCs/>
          <w:i/>
        </w:rPr>
        <w:t>„Dopalacze mogą uzależniać. Istnieją narkotyki, które uzależniają po 1-2 krotnym zażyciu, wiele zależy tu od osobniczej podatności na uzależnienia, a tej nigdy nie znamy. Dopalacze mogą też, podobnie jak marihuana prowadzić do uzależnienia od twardych narkotyków, takich jak kokaina czy heroina.”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 xml:space="preserve">Jan Latała - psychiatra </w:t>
      </w:r>
    </w:p>
    <w:p w:rsidR="003B73EC" w:rsidRDefault="003B73EC" w:rsidP="003B73EC">
      <w:pPr>
        <w:jc w:val="both"/>
        <w:rPr>
          <w:b/>
          <w:bCs/>
        </w:rPr>
      </w:pPr>
    </w:p>
    <w:p w:rsidR="003B73EC" w:rsidRDefault="003B73EC" w:rsidP="003B73EC">
      <w:pPr>
        <w:jc w:val="both"/>
        <w:rPr>
          <w:b/>
          <w:bCs/>
        </w:rPr>
      </w:pPr>
      <w:r>
        <w:rPr>
          <w:b/>
          <w:bCs/>
        </w:rPr>
        <w:lastRenderedPageBreak/>
        <w:t>Gdzie szukać pomocy?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 xml:space="preserve">Jeśli spotkasz się z osobą, której zachowanie wskazuje na zatrucie dopalaczami lub inną substancją psychoaktywną koniecznie udaj się z nią do szpitala. </w:t>
      </w:r>
    </w:p>
    <w:p w:rsidR="00DA7ED8" w:rsidRPr="003B73EC" w:rsidRDefault="003B73EC" w:rsidP="003B73EC">
      <w:pPr>
        <w:numPr>
          <w:ilvl w:val="0"/>
          <w:numId w:val="3"/>
        </w:numPr>
        <w:jc w:val="both"/>
        <w:rPr>
          <w:b/>
          <w:bCs/>
        </w:rPr>
      </w:pPr>
      <w:r w:rsidRPr="003B73EC">
        <w:rPr>
          <w:b/>
          <w:bCs/>
        </w:rPr>
        <w:t xml:space="preserve">112 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ab/>
        <w:t xml:space="preserve">(jest numerem alarmowym pod który możesz zadzwonić, gdy znajdziesz się w niebezpieczeństwie i będziesz potrzebować pomocy  ze strony policji, straży pożarnej lub pogotowia. Jest to numer uniwersalny co oznacza, że możesz pod niego zadzwonić zawsze gdy czujesz się zagrożony/a z jakiegokolwiek powodu) </w:t>
      </w:r>
    </w:p>
    <w:p w:rsidR="00DA7ED8" w:rsidRPr="003B73EC" w:rsidRDefault="003B73EC" w:rsidP="003B73EC">
      <w:pPr>
        <w:numPr>
          <w:ilvl w:val="0"/>
          <w:numId w:val="4"/>
        </w:numPr>
        <w:jc w:val="both"/>
        <w:rPr>
          <w:b/>
          <w:bCs/>
        </w:rPr>
      </w:pPr>
      <w:r w:rsidRPr="003B73EC">
        <w:rPr>
          <w:b/>
          <w:bCs/>
        </w:rPr>
        <w:t xml:space="preserve">0801 199 990 </w:t>
      </w:r>
    </w:p>
    <w:p w:rsidR="003B73EC" w:rsidRP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ab/>
        <w:t xml:space="preserve">(Ogólnopolski Telefon Zaufania  </w:t>
      </w:r>
    </w:p>
    <w:p w:rsidR="003B73EC" w:rsidRDefault="003B73EC" w:rsidP="003B73EC">
      <w:pPr>
        <w:jc w:val="both"/>
        <w:rPr>
          <w:b/>
          <w:bCs/>
        </w:rPr>
      </w:pPr>
      <w:r w:rsidRPr="003B73EC">
        <w:rPr>
          <w:b/>
          <w:bCs/>
        </w:rPr>
        <w:tab/>
        <w:t>Narkotyki – Narkomania)</w:t>
      </w:r>
    </w:p>
    <w:p w:rsidR="003B73EC" w:rsidRDefault="003B73EC" w:rsidP="003B73EC">
      <w:pPr>
        <w:jc w:val="both"/>
        <w:rPr>
          <w:b/>
          <w:bCs/>
        </w:rPr>
      </w:pPr>
      <w:r>
        <w:rPr>
          <w:b/>
          <w:bCs/>
        </w:rPr>
        <w:t>Ważne strony WWW:</w:t>
      </w:r>
    </w:p>
    <w:p w:rsidR="00DA7ED8" w:rsidRPr="003B73EC" w:rsidRDefault="003B73EC" w:rsidP="003B73EC">
      <w:pPr>
        <w:numPr>
          <w:ilvl w:val="0"/>
          <w:numId w:val="6"/>
        </w:numPr>
        <w:jc w:val="both"/>
        <w:rPr>
          <w:b/>
          <w:bCs/>
        </w:rPr>
      </w:pPr>
      <w:r w:rsidRPr="003B73EC">
        <w:rPr>
          <w:b/>
          <w:bCs/>
        </w:rPr>
        <w:t xml:space="preserve">www.narkotyki.pl </w:t>
      </w:r>
    </w:p>
    <w:p w:rsidR="00DA7ED8" w:rsidRPr="003B73EC" w:rsidRDefault="003B73EC" w:rsidP="003B73EC">
      <w:pPr>
        <w:numPr>
          <w:ilvl w:val="0"/>
          <w:numId w:val="6"/>
        </w:numPr>
        <w:jc w:val="both"/>
        <w:rPr>
          <w:b/>
          <w:bCs/>
        </w:rPr>
      </w:pPr>
      <w:r w:rsidRPr="003B73EC">
        <w:rPr>
          <w:b/>
          <w:bCs/>
        </w:rPr>
        <w:t xml:space="preserve">www.narkomania.gov.pl </w:t>
      </w:r>
    </w:p>
    <w:p w:rsidR="00DA7ED8" w:rsidRPr="003B73EC" w:rsidRDefault="003B73EC" w:rsidP="003B73EC">
      <w:pPr>
        <w:numPr>
          <w:ilvl w:val="0"/>
          <w:numId w:val="6"/>
        </w:numPr>
        <w:jc w:val="both"/>
        <w:rPr>
          <w:b/>
          <w:bCs/>
        </w:rPr>
      </w:pPr>
      <w:r w:rsidRPr="003B73EC">
        <w:rPr>
          <w:b/>
          <w:bCs/>
        </w:rPr>
        <w:t xml:space="preserve">www.narkomania.org.pl </w:t>
      </w:r>
    </w:p>
    <w:p w:rsidR="003B73EC" w:rsidRPr="003B73EC" w:rsidRDefault="003B73EC" w:rsidP="003B73EC">
      <w:pPr>
        <w:jc w:val="both"/>
        <w:rPr>
          <w:b/>
          <w:bCs/>
        </w:rPr>
      </w:pPr>
    </w:p>
    <w:p w:rsidR="003B73EC" w:rsidRPr="003B73EC" w:rsidRDefault="003B73EC" w:rsidP="003B73EC">
      <w:pPr>
        <w:jc w:val="both"/>
        <w:rPr>
          <w:b/>
          <w:bCs/>
        </w:rPr>
      </w:pPr>
    </w:p>
    <w:sectPr w:rsidR="003B73EC" w:rsidRPr="003B73EC" w:rsidSect="00B4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773"/>
    <w:multiLevelType w:val="hybridMultilevel"/>
    <w:tmpl w:val="61C2EF14"/>
    <w:lvl w:ilvl="0" w:tplc="8AB6FB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0CE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4F9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007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AE3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B8CC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A65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E26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C0C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3B6"/>
    <w:multiLevelType w:val="hybridMultilevel"/>
    <w:tmpl w:val="738A150A"/>
    <w:lvl w:ilvl="0" w:tplc="5E1857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B6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E3B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6B7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CB3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22C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E4F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ECB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8ED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A41"/>
    <w:multiLevelType w:val="hybridMultilevel"/>
    <w:tmpl w:val="560C60A4"/>
    <w:lvl w:ilvl="0" w:tplc="091824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C0C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697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18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7CBE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C36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CE0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A25E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CB5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05C3"/>
    <w:multiLevelType w:val="hybridMultilevel"/>
    <w:tmpl w:val="59B4AE3E"/>
    <w:lvl w:ilvl="0" w:tplc="2C3428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8C0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A02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2E3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84A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C4E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280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CE20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FEE9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3A2"/>
    <w:multiLevelType w:val="hybridMultilevel"/>
    <w:tmpl w:val="7798740A"/>
    <w:lvl w:ilvl="0" w:tplc="453ED9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613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45E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C0C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448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2B4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21C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E79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E9A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32CD5"/>
    <w:multiLevelType w:val="hybridMultilevel"/>
    <w:tmpl w:val="874000E8"/>
    <w:lvl w:ilvl="0" w:tplc="019E58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86F9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CC4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C36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864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408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6E4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9A3F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A88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3EC"/>
    <w:rsid w:val="003B73EC"/>
    <w:rsid w:val="007A0215"/>
    <w:rsid w:val="00B4299C"/>
    <w:rsid w:val="00D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9E8EE-E9E6-4BC7-898F-6B1FB913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B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61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59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547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14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11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39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015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21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863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9735">
          <w:marLeft w:val="109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84">
          <w:marLeft w:val="109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626">
          <w:marLeft w:val="109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253">
          <w:marLeft w:val="109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980">
          <w:marLeft w:val="109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57">
          <w:marLeft w:val="109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538">
          <w:marLeft w:val="109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185">
          <w:marLeft w:val="109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153">
          <w:marLeft w:val="109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54">
          <w:marLeft w:val="109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 Jary</cp:lastModifiedBy>
  <cp:revision>2</cp:revision>
  <dcterms:created xsi:type="dcterms:W3CDTF">2021-01-26T17:06:00Z</dcterms:created>
  <dcterms:modified xsi:type="dcterms:W3CDTF">2021-01-30T16:31:00Z</dcterms:modified>
</cp:coreProperties>
</file>